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0E" w:rsidRPr="00613636" w:rsidRDefault="00D47C0E" w:rsidP="00D47C0E">
      <w:pPr>
        <w:rPr>
          <w:b/>
        </w:rPr>
      </w:pPr>
      <w:r w:rsidRPr="00613636">
        <w:rPr>
          <w:b/>
        </w:rPr>
        <w:t>Море: виды контейнеров и морские термины.</w:t>
      </w:r>
    </w:p>
    <w:p w:rsidR="00D47C0E" w:rsidRPr="008D5043" w:rsidRDefault="00D47C0E" w:rsidP="00D47C0E">
      <w:pPr>
        <w:spacing w:after="0" w:line="240" w:lineRule="auto"/>
        <w:rPr>
          <w:rFonts w:eastAsia="Times New Roman" w:cs="Arial"/>
          <w:lang w:eastAsia="ru-RU"/>
        </w:rPr>
      </w:pPr>
      <w:r w:rsidRPr="008D5043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  <w:proofErr w:type="gramStart"/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>FCL</w:t>
      </w:r>
      <w:r w:rsidRPr="008D5043">
        <w:rPr>
          <w:rFonts w:eastAsia="Times New Roman" w:cs="Arial"/>
          <w:bdr w:val="none" w:sz="0" w:space="0" w:color="auto" w:frame="1"/>
          <w:lang w:eastAsia="ru-RU"/>
        </w:rPr>
        <w:t>  -</w:t>
      </w:r>
      <w:proofErr w:type="gramEnd"/>
      <w:r w:rsidRPr="008D5043">
        <w:rPr>
          <w:rFonts w:eastAsia="Times New Roman" w:cs="Arial"/>
          <w:bdr w:val="none" w:sz="0" w:space="0" w:color="auto" w:frame="1"/>
          <w:lang w:eastAsia="ru-RU"/>
        </w:rPr>
        <w:t xml:space="preserve"> полная загрузка контейнера. Если партия вашего груза требует один или более контейнеров – этот вид загрузки для вас. Мы с удовольствием подберем для вас нужный </w:t>
      </w:r>
      <w:proofErr w:type="gramStart"/>
      <w:r w:rsidRPr="008D5043">
        <w:rPr>
          <w:rFonts w:eastAsia="Times New Roman" w:cs="Arial"/>
          <w:bdr w:val="none" w:sz="0" w:space="0" w:color="auto" w:frame="1"/>
          <w:lang w:eastAsia="ru-RU"/>
        </w:rPr>
        <w:t>объем  контейнера</w:t>
      </w:r>
      <w:proofErr w:type="gramEnd"/>
      <w:r w:rsidRPr="008D5043">
        <w:rPr>
          <w:rFonts w:eastAsia="Times New Roman" w:cs="Arial"/>
          <w:bdr w:val="none" w:sz="0" w:space="0" w:color="auto" w:frame="1"/>
          <w:lang w:eastAsia="ru-RU"/>
        </w:rPr>
        <w:t xml:space="preserve"> 20'STD, 40'STD, 40'HC, 45' и организуем доставку и таможенное оформление.</w:t>
      </w:r>
    </w:p>
    <w:p w:rsidR="00D47C0E" w:rsidRPr="008D5043" w:rsidRDefault="00D47C0E" w:rsidP="00D47C0E">
      <w:pPr>
        <w:spacing w:after="0" w:line="240" w:lineRule="auto"/>
        <w:rPr>
          <w:rFonts w:eastAsia="Times New Roman" w:cs="Arial"/>
          <w:lang w:eastAsia="ru-RU"/>
        </w:rPr>
      </w:pPr>
      <w:r w:rsidRPr="008D5043">
        <w:rPr>
          <w:rFonts w:eastAsia="Times New Roman" w:cs="Arial"/>
          <w:bdr w:val="none" w:sz="0" w:space="0" w:color="auto" w:frame="1"/>
          <w:lang w:eastAsia="ru-RU"/>
        </w:rPr>
        <w:t>   </w:t>
      </w:r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>LCL</w:t>
      </w:r>
      <w:r w:rsidRPr="008D5043">
        <w:rPr>
          <w:rFonts w:eastAsia="Times New Roman" w:cs="Arial"/>
          <w:bdr w:val="none" w:sz="0" w:space="0" w:color="auto" w:frame="1"/>
          <w:lang w:eastAsia="ru-RU"/>
        </w:rPr>
        <w:t xml:space="preserve"> - частичная загрузка контейнера.  Такой вид загрузки популярен среди небольших компаний, физических лиц, интернет магазинов и т.д. Такой </w:t>
      </w:r>
      <w:proofErr w:type="gramStart"/>
      <w:r w:rsidRPr="008D5043">
        <w:rPr>
          <w:rFonts w:eastAsia="Times New Roman" w:cs="Arial"/>
          <w:bdr w:val="none" w:sz="0" w:space="0" w:color="auto" w:frame="1"/>
          <w:lang w:eastAsia="ru-RU"/>
        </w:rPr>
        <w:t>способ  очень</w:t>
      </w:r>
      <w:proofErr w:type="gramEnd"/>
      <w:r w:rsidRPr="008D5043">
        <w:rPr>
          <w:rFonts w:eastAsia="Times New Roman" w:cs="Arial"/>
          <w:bdr w:val="none" w:sz="0" w:space="0" w:color="auto" w:frame="1"/>
          <w:lang w:eastAsia="ru-RU"/>
        </w:rPr>
        <w:t xml:space="preserve"> экономичен, так как контейнер заполняется сборными грузами и вам не нужно платить за аренду целого контейнера, а только за  минимальный объем, занятый вашим товаром.</w:t>
      </w:r>
    </w:p>
    <w:p w:rsidR="00D47C0E" w:rsidRPr="008D5043" w:rsidRDefault="00D47C0E" w:rsidP="00D47C0E">
      <w:pPr>
        <w:spacing w:after="0" w:line="240" w:lineRule="auto"/>
        <w:rPr>
          <w:rFonts w:eastAsia="Times New Roman" w:cs="Arial"/>
          <w:lang w:eastAsia="ru-RU"/>
        </w:rPr>
      </w:pPr>
      <w:proofErr w:type="spellStart"/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>Bill</w:t>
      </w:r>
      <w:proofErr w:type="spellEnd"/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 xml:space="preserve"> </w:t>
      </w:r>
      <w:proofErr w:type="spellStart"/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>of</w:t>
      </w:r>
      <w:proofErr w:type="spellEnd"/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 xml:space="preserve"> </w:t>
      </w:r>
      <w:proofErr w:type="spellStart"/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>Lading</w:t>
      </w:r>
      <w:proofErr w:type="spellEnd"/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>, B/L (коносамент)</w:t>
      </w:r>
      <w:r w:rsidRPr="008D5043">
        <w:rPr>
          <w:rFonts w:eastAsia="Times New Roman" w:cs="Arial"/>
          <w:bdr w:val="none" w:sz="0" w:space="0" w:color="auto" w:frame="1"/>
          <w:lang w:eastAsia="ru-RU"/>
        </w:rPr>
        <w:t> – основной морской документ - накладная на перевозку груза;</w:t>
      </w:r>
    </w:p>
    <w:p w:rsidR="00D47C0E" w:rsidRPr="008D5043" w:rsidRDefault="00D47C0E" w:rsidP="00D47C0E">
      <w:pPr>
        <w:spacing w:after="0" w:line="240" w:lineRule="auto"/>
        <w:rPr>
          <w:rFonts w:eastAsia="Times New Roman" w:cs="Arial"/>
          <w:lang w:eastAsia="ru-RU"/>
        </w:rPr>
      </w:pPr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> </w:t>
      </w:r>
      <w:proofErr w:type="spellStart"/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>Shipper</w:t>
      </w:r>
      <w:proofErr w:type="spellEnd"/>
      <w:r w:rsidRPr="008D5043">
        <w:rPr>
          <w:rFonts w:eastAsia="Times New Roman" w:cs="Arial"/>
          <w:bdr w:val="none" w:sz="0" w:space="0" w:color="auto" w:frame="1"/>
          <w:lang w:eastAsia="ru-RU"/>
        </w:rPr>
        <w:t> – отправитель или поставщик груза;</w:t>
      </w:r>
    </w:p>
    <w:p w:rsidR="00D47C0E" w:rsidRPr="008D5043" w:rsidRDefault="00D47C0E" w:rsidP="00D47C0E">
      <w:pPr>
        <w:spacing w:after="0" w:line="240" w:lineRule="auto"/>
        <w:rPr>
          <w:rFonts w:eastAsia="Times New Roman" w:cs="Arial"/>
          <w:lang w:eastAsia="ru-RU"/>
        </w:rPr>
      </w:pPr>
      <w:r w:rsidRPr="008D5043">
        <w:rPr>
          <w:rFonts w:eastAsia="Times New Roman" w:cs="Arial"/>
          <w:bdr w:val="none" w:sz="0" w:space="0" w:color="auto" w:frame="1"/>
          <w:lang w:eastAsia="ru-RU"/>
        </w:rPr>
        <w:t> </w:t>
      </w:r>
      <w:proofErr w:type="spellStart"/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>Consignee</w:t>
      </w:r>
      <w:proofErr w:type="spellEnd"/>
      <w:r w:rsidRPr="008D5043">
        <w:rPr>
          <w:rFonts w:eastAsia="Times New Roman" w:cs="Arial"/>
          <w:bdr w:val="none" w:sz="0" w:space="0" w:color="auto" w:frame="1"/>
          <w:lang w:eastAsia="ru-RU"/>
        </w:rPr>
        <w:t> - получатель груза;</w:t>
      </w:r>
    </w:p>
    <w:p w:rsidR="00D47C0E" w:rsidRPr="008D5043" w:rsidRDefault="00D47C0E" w:rsidP="00D47C0E">
      <w:pPr>
        <w:spacing w:after="0" w:line="240" w:lineRule="auto"/>
        <w:rPr>
          <w:rFonts w:eastAsia="Times New Roman" w:cs="Arial"/>
          <w:lang w:eastAsia="ru-RU"/>
        </w:rPr>
      </w:pPr>
      <w:r w:rsidRPr="008D5043">
        <w:rPr>
          <w:rFonts w:eastAsia="Times New Roman" w:cs="Arial"/>
          <w:bdr w:val="none" w:sz="0" w:space="0" w:color="auto" w:frame="1"/>
          <w:lang w:eastAsia="ru-RU"/>
        </w:rPr>
        <w:t> </w:t>
      </w:r>
      <w:proofErr w:type="spellStart"/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>Notify</w:t>
      </w:r>
      <w:proofErr w:type="spellEnd"/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 xml:space="preserve"> </w:t>
      </w:r>
      <w:proofErr w:type="spellStart"/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>party</w:t>
      </w:r>
      <w:proofErr w:type="spellEnd"/>
      <w:r w:rsidRPr="008D5043">
        <w:rPr>
          <w:rFonts w:eastAsia="Times New Roman" w:cs="Arial"/>
          <w:bdr w:val="none" w:sz="0" w:space="0" w:color="auto" w:frame="1"/>
          <w:lang w:eastAsia="ru-RU"/>
        </w:rPr>
        <w:t> - сторона, которую перевозчик должен уведомить о прибытии груза. Им бывает экспедитор или другой представитель получателя в порту;</w:t>
      </w:r>
    </w:p>
    <w:p w:rsidR="00D47C0E" w:rsidRPr="008D5043" w:rsidRDefault="00D47C0E" w:rsidP="00D47C0E">
      <w:pPr>
        <w:spacing w:after="0" w:line="240" w:lineRule="auto"/>
        <w:rPr>
          <w:rFonts w:eastAsia="Times New Roman" w:cs="Arial"/>
          <w:lang w:eastAsia="ru-RU"/>
        </w:rPr>
      </w:pPr>
      <w:r w:rsidRPr="008D5043">
        <w:rPr>
          <w:rFonts w:eastAsia="Times New Roman" w:cs="Arial"/>
          <w:bdr w:val="none" w:sz="0" w:space="0" w:color="auto" w:frame="1"/>
          <w:lang w:eastAsia="ru-RU"/>
        </w:rPr>
        <w:t> </w:t>
      </w:r>
      <w:proofErr w:type="spellStart"/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>Freight</w:t>
      </w:r>
      <w:proofErr w:type="spellEnd"/>
      <w:r w:rsidRPr="008D5043">
        <w:rPr>
          <w:rFonts w:eastAsia="Times New Roman" w:cs="Arial"/>
          <w:bdr w:val="none" w:sz="0" w:space="0" w:color="auto" w:frame="1"/>
          <w:lang w:eastAsia="ru-RU"/>
        </w:rPr>
        <w:t> (фрахт) - оплата за перевозку груза;</w:t>
      </w:r>
    </w:p>
    <w:p w:rsidR="00D47C0E" w:rsidRPr="008D5043" w:rsidRDefault="00D47C0E" w:rsidP="00D47C0E">
      <w:pPr>
        <w:spacing w:after="0" w:line="240" w:lineRule="auto"/>
        <w:rPr>
          <w:rFonts w:eastAsia="Times New Roman" w:cs="Arial"/>
          <w:lang w:eastAsia="ru-RU"/>
        </w:rPr>
      </w:pPr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> </w:t>
      </w:r>
      <w:proofErr w:type="spellStart"/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>Loading</w:t>
      </w:r>
      <w:proofErr w:type="spellEnd"/>
      <w:r w:rsidRPr="008D5043">
        <w:rPr>
          <w:rFonts w:eastAsia="Times New Roman" w:cs="Arial"/>
          <w:bdr w:val="none" w:sz="0" w:space="0" w:color="auto" w:frame="1"/>
          <w:lang w:eastAsia="ru-RU"/>
        </w:rPr>
        <w:t> - погрузка;</w:t>
      </w:r>
    </w:p>
    <w:p w:rsidR="00D47C0E" w:rsidRPr="008D5043" w:rsidRDefault="00D47C0E" w:rsidP="00D47C0E">
      <w:pPr>
        <w:spacing w:after="0" w:line="240" w:lineRule="auto"/>
        <w:rPr>
          <w:rFonts w:eastAsia="Times New Roman" w:cs="Arial"/>
          <w:lang w:eastAsia="ru-RU"/>
        </w:rPr>
      </w:pPr>
      <w:r w:rsidRPr="008D5043">
        <w:rPr>
          <w:rFonts w:eastAsia="Times New Roman" w:cs="Arial"/>
          <w:bdr w:val="none" w:sz="0" w:space="0" w:color="auto" w:frame="1"/>
          <w:lang w:eastAsia="ru-RU"/>
        </w:rPr>
        <w:t> </w:t>
      </w:r>
      <w:proofErr w:type="spellStart"/>
      <w:r w:rsidRPr="008D5043">
        <w:rPr>
          <w:rFonts w:eastAsia="Times New Roman" w:cs="Arial"/>
          <w:b/>
          <w:bCs/>
          <w:bdr w:val="none" w:sz="0" w:space="0" w:color="auto" w:frame="1"/>
          <w:lang w:eastAsia="ru-RU"/>
        </w:rPr>
        <w:t>Discharging</w:t>
      </w:r>
      <w:proofErr w:type="spellEnd"/>
      <w:r w:rsidRPr="008D5043">
        <w:rPr>
          <w:rFonts w:eastAsia="Times New Roman" w:cs="Arial"/>
          <w:bdr w:val="none" w:sz="0" w:space="0" w:color="auto" w:frame="1"/>
          <w:lang w:eastAsia="ru-RU"/>
        </w:rPr>
        <w:t> - выгрузка;</w:t>
      </w:r>
    </w:p>
    <w:p w:rsidR="00D47C0E" w:rsidRPr="008D5043" w:rsidRDefault="00D47C0E" w:rsidP="00D47C0E">
      <w:pPr>
        <w:spacing w:after="0" w:line="240" w:lineRule="auto"/>
        <w:rPr>
          <w:rFonts w:eastAsia="Times New Roman" w:cs="Arial"/>
          <w:lang w:eastAsia="ru-RU"/>
        </w:rPr>
      </w:pPr>
      <w:r w:rsidRPr="008D5043">
        <w:rPr>
          <w:rFonts w:eastAsia="Times New Roman" w:cs="Arial"/>
          <w:bdr w:val="none" w:sz="0" w:space="0" w:color="auto" w:frame="1"/>
          <w:lang w:eastAsia="ru-RU"/>
        </w:rPr>
        <w:t> </w:t>
      </w:r>
      <w:proofErr w:type="spellStart"/>
      <w:r w:rsidRPr="008D5043">
        <w:rPr>
          <w:rFonts w:eastAsia="Times New Roman" w:cs="Arial"/>
          <w:bdr w:val="none" w:sz="0" w:space="0" w:color="auto" w:frame="1"/>
          <w:lang w:eastAsia="ru-RU"/>
        </w:rPr>
        <w:t>Feeder</w:t>
      </w:r>
      <w:proofErr w:type="spellEnd"/>
      <w:r w:rsidRPr="008D5043">
        <w:rPr>
          <w:rFonts w:eastAsia="Times New Roman" w:cs="Arial"/>
          <w:bdr w:val="none" w:sz="0" w:space="0" w:color="auto" w:frame="1"/>
          <w:lang w:eastAsia="ru-RU"/>
        </w:rPr>
        <w:t xml:space="preserve"> (фидер) – это морская линия местного сообщения для перевозки контейнера или негабаритного груза на небольшое расстояние или доставки контейнеров от/до порта погрузки на океанский корабль. При заключении договора на морскую перевозку на дальнее расстояние местная фидерная перевозка входит в сумму фрахта, и дополнительной оплаты не требуется.</w:t>
      </w:r>
    </w:p>
    <w:p w:rsidR="00D47C0E" w:rsidRDefault="00D47C0E" w:rsidP="00D47C0E">
      <w:r>
        <w:t>Термины морской перевозки</w:t>
      </w:r>
    </w:p>
    <w:p w:rsidR="00D47C0E" w:rsidRDefault="00D47C0E" w:rsidP="00D47C0E"/>
    <w:p w:rsidR="00D47C0E" w:rsidRDefault="00D47C0E" w:rsidP="00D47C0E">
      <w:r>
        <w:t>Единица измерения стоимости работ и контейнер совместимости подвижного состава и складов</w:t>
      </w:r>
    </w:p>
    <w:p w:rsidR="00D47C0E" w:rsidRDefault="00D47C0E" w:rsidP="00D47C0E"/>
    <w:p w:rsidR="00D47C0E" w:rsidRDefault="00D47C0E" w:rsidP="00D47C0E">
      <w:r>
        <w:t>TEU (</w:t>
      </w:r>
      <w:proofErr w:type="spellStart"/>
      <w:r>
        <w:t>Twentyfoot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Unit</w:t>
      </w:r>
      <w:proofErr w:type="spellEnd"/>
      <w:r>
        <w:t>) – единица измерения груза, равная объему 1х20-футового контейнера. 1х40-футовый контейнер = 2TEU</w:t>
      </w:r>
    </w:p>
    <w:p w:rsidR="00BD5199" w:rsidRDefault="00BD5199" w:rsidP="00BD5199">
      <w:r>
        <w:t>Условия перевозок</w:t>
      </w:r>
    </w:p>
    <w:p w:rsidR="00BD5199" w:rsidRDefault="00BD5199" w:rsidP="00BD5199"/>
    <w:p w:rsidR="00BD5199" w:rsidRDefault="00BD5199" w:rsidP="00BD5199">
      <w:r>
        <w:t>CY (</w:t>
      </w:r>
      <w:proofErr w:type="spellStart"/>
      <w:r>
        <w:t>Container</w:t>
      </w:r>
      <w:proofErr w:type="spellEnd"/>
      <w:r>
        <w:t xml:space="preserve"> </w:t>
      </w:r>
      <w:proofErr w:type="spellStart"/>
      <w:r>
        <w:t>Yard</w:t>
      </w:r>
      <w:proofErr w:type="spellEnd"/>
      <w:r>
        <w:t>) Контейнерный терминал – 1. Место хранения контейнеров перед/после их дальнейшей отправкой. 2. Условие перевозки при отправлении/прибытии — стоимость перевозки включает услуги по отправке от/до CY (фрахт, погрузка/выгрузка с судна, размещение на CY, НЕ включает услуги по приему/отправлению груза на/с CY);</w:t>
      </w:r>
    </w:p>
    <w:p w:rsidR="00BD5199" w:rsidRDefault="00BD5199" w:rsidP="00BD5199">
      <w:r>
        <w:t>DOOR Доставка до двери – условие перевозки при отправлении/прибытии – означает, что экспедитор принимает на себя обязанности по организации перевозки до/от входных дверей/склада отправителя/получателя; стоимость перевозки включает услуги по отправке от/до входных дверей/склада отправителя/получателя;</w:t>
      </w:r>
    </w:p>
    <w:p w:rsidR="00BD5199" w:rsidRDefault="00BD5199" w:rsidP="00BD5199">
      <w:r>
        <w:t>FI (</w:t>
      </w:r>
      <w:proofErr w:type="spellStart"/>
      <w:r>
        <w:t>Free</w:t>
      </w:r>
      <w:proofErr w:type="spellEnd"/>
      <w:r>
        <w:t xml:space="preserve"> </w:t>
      </w:r>
      <w:proofErr w:type="spellStart"/>
      <w:r>
        <w:t>In</w:t>
      </w:r>
      <w:proofErr w:type="spellEnd"/>
      <w:r>
        <w:t>) Свободно от погрузки – условие перевозки при отправлении – означает, что фрахт не учитывает стоимости погрузки на судно;</w:t>
      </w:r>
    </w:p>
    <w:p w:rsidR="00BD5199" w:rsidRDefault="00BD5199" w:rsidP="00BD5199">
      <w:r>
        <w:t>FO (</w:t>
      </w:r>
      <w:proofErr w:type="spellStart"/>
      <w:r>
        <w:t>Free</w:t>
      </w:r>
      <w:proofErr w:type="spellEnd"/>
      <w:r>
        <w:t xml:space="preserve"> </w:t>
      </w:r>
      <w:proofErr w:type="spellStart"/>
      <w:r>
        <w:t>Out</w:t>
      </w:r>
      <w:proofErr w:type="spellEnd"/>
      <w:r>
        <w:t>) Свободно от выгрузки – условие перевозки в месте назначения – означает, что фрахт не учитывает стоимости выгрузки с судна;</w:t>
      </w:r>
    </w:p>
    <w:p w:rsidR="00BD5199" w:rsidRDefault="00BD5199" w:rsidP="00BD5199">
      <w:r>
        <w:t>LI (</w:t>
      </w:r>
      <w:proofErr w:type="spellStart"/>
      <w:r>
        <w:t>Liner</w:t>
      </w:r>
      <w:proofErr w:type="spellEnd"/>
      <w:r>
        <w:t xml:space="preserve"> </w:t>
      </w:r>
      <w:proofErr w:type="spellStart"/>
      <w:r>
        <w:t>In</w:t>
      </w:r>
      <w:proofErr w:type="spellEnd"/>
      <w:r>
        <w:t>) Линейные условия при отправлении – означает, что стоимость приема/обработки груза на контейнером терминале и погрузка на судно включены в ставку фрахта;</w:t>
      </w:r>
    </w:p>
    <w:p w:rsidR="00BD5199" w:rsidRDefault="00BD5199" w:rsidP="00BD5199">
      <w:r>
        <w:t>LO (</w:t>
      </w:r>
      <w:proofErr w:type="spellStart"/>
      <w:r>
        <w:t>Liner</w:t>
      </w:r>
      <w:proofErr w:type="spellEnd"/>
      <w:r>
        <w:t xml:space="preserve"> </w:t>
      </w:r>
      <w:proofErr w:type="spellStart"/>
      <w:r>
        <w:t>Out</w:t>
      </w:r>
      <w:proofErr w:type="spellEnd"/>
      <w:r>
        <w:t>) Линейные условия при прибытии - означает, что стоимость выгрузки с судна и приема/обработки груза на контейнером терминале включены в ставку фрахта.</w:t>
      </w:r>
    </w:p>
    <w:p w:rsidR="00BD5199" w:rsidRDefault="00BD5199" w:rsidP="00BD5199">
      <w:r>
        <w:lastRenderedPageBreak/>
        <w:t>Важно! Условия ставки всегда состоят из 2 частей – информации по условиям отправления и прибытия. Например FILO, LICY и т.д.</w:t>
      </w:r>
    </w:p>
    <w:p w:rsidR="00BD5199" w:rsidRDefault="00BD5199" w:rsidP="00BD5199">
      <w:r>
        <w:t>Сборы к базовой ставке фрахта (Оплачиваются линии в счет фрахта)</w:t>
      </w:r>
    </w:p>
    <w:p w:rsidR="00BD5199" w:rsidRDefault="00BD5199" w:rsidP="00BD5199"/>
    <w:p w:rsidR="00BD5199" w:rsidRDefault="00BD5199" w:rsidP="00BD5199">
      <w:r>
        <w:t>Сборы к базовой ставке фрахта оплачиваются линии в счет фрахта</w:t>
      </w:r>
    </w:p>
    <w:p w:rsidR="00BD5199" w:rsidRDefault="00BD5199" w:rsidP="00BD5199">
      <w:r>
        <w:t>ALL IN (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>) «Все включено» – означает, что стоимость перевозки включает все дополнительные сборы, предусмотренные условиями перевозки. Например, если речь идет о фрахт на условиях LILO, это означает, что в ставку, кроме фрахта, погрузки и выгрузки, также включены все сопутствующие расходы, такие как BAF, CAF и т. д.;</w:t>
      </w:r>
    </w:p>
    <w:p w:rsidR="00BD5199" w:rsidRDefault="00BD5199" w:rsidP="00BD5199">
      <w:r>
        <w:t>BAF (</w:t>
      </w:r>
      <w:proofErr w:type="spellStart"/>
      <w:r>
        <w:t>Bunker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 </w:t>
      </w:r>
      <w:proofErr w:type="spellStart"/>
      <w:r>
        <w:t>Factory</w:t>
      </w:r>
      <w:proofErr w:type="spellEnd"/>
      <w:r>
        <w:t>) Бункерная надбавка – дополнительный сбор к базовой ставке фрахта, величина зависит от стоимости топлива на международном рынке. Может изменяться ежемесячно или ежеквартально. Обычно котируется за TEU (например 500 USD/TEU);</w:t>
      </w:r>
    </w:p>
    <w:p w:rsidR="00BD5199" w:rsidRDefault="00BD5199" w:rsidP="00BD5199">
      <w:r>
        <w:t>CAF (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 </w:t>
      </w:r>
      <w:proofErr w:type="spellStart"/>
      <w:r>
        <w:t>Factory</w:t>
      </w:r>
      <w:proofErr w:type="spellEnd"/>
      <w:r>
        <w:t>) Валютная надбавка – дополнительный сбор к базовой ставке фрахта, величина зависит от изменения курса валют. Может изменяться ежемесячно или ежеквартально. Обычно котируется в % к базовой ставке фрахта;</w:t>
      </w:r>
    </w:p>
    <w:p w:rsidR="00BD5199" w:rsidRDefault="00BD5199" w:rsidP="00BD5199">
      <w:r>
        <w:t xml:space="preserve">IMO </w:t>
      </w:r>
      <w:proofErr w:type="spellStart"/>
      <w:r>
        <w:t>Surcharge</w:t>
      </w:r>
      <w:proofErr w:type="spellEnd"/>
      <w:r>
        <w:t xml:space="preserve"> - Надбавка за опасный груз;</w:t>
      </w:r>
    </w:p>
    <w:p w:rsidR="00BD5199" w:rsidRDefault="00BD5199" w:rsidP="00BD5199">
      <w:r>
        <w:t>ISPS или SEC (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charges</w:t>
      </w:r>
      <w:proofErr w:type="spellEnd"/>
      <w:r>
        <w:t>) – портовый сбор за безопасность;</w:t>
      </w:r>
    </w:p>
    <w:p w:rsidR="00BD5199" w:rsidRDefault="00BD5199" w:rsidP="00BD5199">
      <w:r>
        <w:t>GRI – плановое повышение базовой ставки с определенной даты;</w:t>
      </w:r>
    </w:p>
    <w:p w:rsidR="00BD5199" w:rsidRDefault="00BD5199" w:rsidP="00BD5199">
      <w:r>
        <w:t>THC (</w:t>
      </w:r>
      <w:proofErr w:type="spellStart"/>
      <w:r>
        <w:t>Terminal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Charges</w:t>
      </w:r>
      <w:proofErr w:type="spellEnd"/>
      <w:r>
        <w:t>) Терминальная обработка груза – первоначально – любые услуги терминала по обработке груза: погрузка/выгрузка с судна, перемещение в штабель, выставление для производства работ и т. д. В настоящее время в практике сложилось следующее понимание данного термина – услуги по обработке груза, оплату которых в соответствиями с обычаями порта производит отправитель, если это порт отправления (</w:t>
      </w:r>
      <w:proofErr w:type="spellStart"/>
      <w:r>
        <w:t>oTHC</w:t>
      </w:r>
      <w:proofErr w:type="spellEnd"/>
      <w:r>
        <w:t>), или получатель, если это порт назначения (</w:t>
      </w:r>
      <w:proofErr w:type="spellStart"/>
      <w:r>
        <w:t>dTHC</w:t>
      </w:r>
      <w:proofErr w:type="spellEnd"/>
      <w:r>
        <w:t>);</w:t>
      </w:r>
    </w:p>
    <w:p w:rsidR="00BD5199" w:rsidRDefault="00BD5199" w:rsidP="00BD5199">
      <w:proofErr w:type="spellStart"/>
      <w:r>
        <w:t>Heavy</w:t>
      </w:r>
      <w:proofErr w:type="spellEnd"/>
      <w:r>
        <w:t xml:space="preserve"> </w:t>
      </w:r>
      <w:proofErr w:type="spellStart"/>
      <w:r>
        <w:t>Lift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– надбавка за превышение определенного веса груза (используется при большом количестве тяжелых грузов на определенном направлении);</w:t>
      </w:r>
    </w:p>
    <w:p w:rsidR="00BD5199" w:rsidRDefault="00BD5199" w:rsidP="00BD5199">
      <w:r>
        <w:t>PCS (</w:t>
      </w:r>
      <w:proofErr w:type="spellStart"/>
      <w:r>
        <w:t>Port</w:t>
      </w:r>
      <w:proofErr w:type="spellEnd"/>
      <w:r>
        <w:t xml:space="preserve"> </w:t>
      </w:r>
      <w:proofErr w:type="spellStart"/>
      <w:r>
        <w:t>Congestion</w:t>
      </w:r>
      <w:proofErr w:type="spellEnd"/>
      <w:r>
        <w:t xml:space="preserve"> </w:t>
      </w:r>
      <w:proofErr w:type="spellStart"/>
      <w:r>
        <w:t>Surcharge</w:t>
      </w:r>
      <w:proofErr w:type="spellEnd"/>
      <w:r>
        <w:t>) – Надбавка в связи с перегрузкой контейнерных площадей порта;</w:t>
      </w:r>
    </w:p>
    <w:p w:rsidR="00BD5199" w:rsidRDefault="00BD5199" w:rsidP="00BD5199">
      <w:r>
        <w:t>PSS (</w:t>
      </w:r>
      <w:proofErr w:type="spellStart"/>
      <w:r>
        <w:t>Peak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Surcharge</w:t>
      </w:r>
      <w:proofErr w:type="spellEnd"/>
      <w:r>
        <w:t>) - Надбавка в связи с сезонным возрастанием объема перевозок в определенное время года («высокий сезон»);</w:t>
      </w:r>
    </w:p>
    <w:p w:rsidR="00BD5199" w:rsidRDefault="00BD5199" w:rsidP="00BD5199">
      <w:proofErr w:type="spellStart"/>
      <w:r>
        <w:t>WarRisk</w:t>
      </w:r>
      <w:proofErr w:type="spellEnd"/>
      <w:r>
        <w:t xml:space="preserve"> (Военные риски), взимается в портах, находящихся в зоне военных действий;</w:t>
      </w:r>
    </w:p>
    <w:p w:rsidR="00BD5199" w:rsidRDefault="00BD5199" w:rsidP="00BD5199">
      <w:proofErr w:type="spellStart"/>
      <w:r>
        <w:t>WinterSurcharge</w:t>
      </w:r>
      <w:proofErr w:type="spellEnd"/>
      <w:r>
        <w:t xml:space="preserve"> (Зимняя надбавка), взимается в портах, где существует возможность обледенения акватории порта. Действует в зимний период.</w:t>
      </w:r>
    </w:p>
    <w:p w:rsidR="00BD5199" w:rsidRDefault="00BD5199" w:rsidP="00BD5199">
      <w:r>
        <w:t>Важно! Должен быть указан срок действия ставки!</w:t>
      </w:r>
    </w:p>
    <w:p w:rsidR="00BD5199" w:rsidRDefault="00BD5199" w:rsidP="00BD5199">
      <w:r>
        <w:t>Важно! Стоимость фрахта определяется по дате отправления груза (дате издания коносамента в порту отправления)</w:t>
      </w:r>
    </w:p>
    <w:p w:rsidR="00BD5199" w:rsidRDefault="00BD5199" w:rsidP="00BD5199">
      <w:r>
        <w:t>Дополнительные условия и сборы</w:t>
      </w:r>
    </w:p>
    <w:p w:rsidR="00BD5199" w:rsidRDefault="00BD5199" w:rsidP="00BD5199"/>
    <w:p w:rsidR="00BD5199" w:rsidRDefault="00BD5199" w:rsidP="00BD5199">
      <w:r>
        <w:t>Дополнительные условия и сборы оплачиваются местным агентам линии как правило через портовых экспедиторов.</w:t>
      </w:r>
    </w:p>
    <w:p w:rsidR="00BD5199" w:rsidRDefault="00BD5199" w:rsidP="00BD5199">
      <w:proofErr w:type="spellStart"/>
      <w:r>
        <w:lastRenderedPageBreak/>
        <w:t>Demurrage</w:t>
      </w:r>
      <w:proofErr w:type="spellEnd"/>
      <w:r>
        <w:t xml:space="preserve"> Штрафные санкции, взимаемые за сверхнормативное использование контейнера с момента его выгрузки на терминал до момента возврата порожнего контейнера в порт (для импорта) или с момента получения порожнего контейнера под погрузку до момента погрузки груженого контейнера на судно (для экспорта).</w:t>
      </w:r>
    </w:p>
    <w:p w:rsidR="00BD5199" w:rsidRDefault="00BD5199" w:rsidP="00BD5199"/>
    <w:p w:rsidR="00BD5199" w:rsidRDefault="00BD5199" w:rsidP="00BD5199">
      <w:r>
        <w:t xml:space="preserve">Период использования контейнера может быть разделен на </w:t>
      </w:r>
      <w:proofErr w:type="spellStart"/>
      <w:r>
        <w:t>Demurrage</w:t>
      </w:r>
      <w:proofErr w:type="spellEnd"/>
      <w:r>
        <w:t xml:space="preserve"> и </w:t>
      </w:r>
      <w:proofErr w:type="spellStart"/>
      <w:r>
        <w:t>Detention</w:t>
      </w:r>
      <w:proofErr w:type="spellEnd"/>
      <w:r>
        <w:t xml:space="preserve">. Тогда </w:t>
      </w:r>
      <w:proofErr w:type="spellStart"/>
      <w:r>
        <w:t>Demurrage</w:t>
      </w:r>
      <w:proofErr w:type="spellEnd"/>
      <w:r>
        <w:t xml:space="preserve"> штрафные санкции, взимаемые за сверхнормативное использование контейнера с момента его выгрузки на терминал до момента вывоза с терминала. </w:t>
      </w:r>
      <w:proofErr w:type="spellStart"/>
      <w:r>
        <w:t>Detention</w:t>
      </w:r>
      <w:proofErr w:type="spellEnd"/>
      <w:r>
        <w:t xml:space="preserve"> штрафные санкции, взимаемые за сверхнормативное использование контейнера с момента его вывоза с терминала до момента возврата порожнего контейнера в порт.</w:t>
      </w:r>
    </w:p>
    <w:p w:rsidR="00BD5199" w:rsidRDefault="00BD5199" w:rsidP="00BD5199"/>
    <w:p w:rsidR="00BD5199" w:rsidRDefault="00BD5199" w:rsidP="00BD5199">
      <w:proofErr w:type="spellStart"/>
      <w:r>
        <w:t>AdministrativeFee</w:t>
      </w:r>
      <w:proofErr w:type="spellEnd"/>
      <w:r>
        <w:t xml:space="preserve"> = B/</w:t>
      </w:r>
      <w:proofErr w:type="spellStart"/>
      <w:r>
        <w:t>LFee</w:t>
      </w:r>
      <w:proofErr w:type="spellEnd"/>
      <w:r>
        <w:t xml:space="preserve"> = </w:t>
      </w:r>
      <w:proofErr w:type="spellStart"/>
      <w:r>
        <w:t>DocsFee</w:t>
      </w:r>
      <w:proofErr w:type="spellEnd"/>
      <w:r>
        <w:t xml:space="preserve"> (возможны другие обозначения) - сборы местного агента линии за оформление документов. Могут взиматься за коносамент или за контейнер.</w:t>
      </w:r>
    </w:p>
    <w:p w:rsidR="00BD5199" w:rsidRDefault="00BD5199" w:rsidP="00BD5199"/>
    <w:p w:rsidR="00BD5199" w:rsidRDefault="00BD5199" w:rsidP="00BD5199">
      <w:r>
        <w:t>Дополнительные сборы порта</w:t>
      </w:r>
    </w:p>
    <w:p w:rsidR="00BD5199" w:rsidRDefault="00BD5199" w:rsidP="00BD5199"/>
    <w:p w:rsidR="00BD5199" w:rsidRDefault="00BD5199" w:rsidP="00BD5199">
      <w:r>
        <w:t>Дополнительные сборы порта оплачиваются порту обычно через портовых экспедиторов, могут собираться напрямую портом или местными агентами линий.</w:t>
      </w:r>
    </w:p>
    <w:p w:rsidR="00BD5199" w:rsidRDefault="00BD5199" w:rsidP="00BD5199">
      <w:r>
        <w:t>Хранение (</w:t>
      </w:r>
      <w:proofErr w:type="spellStart"/>
      <w:r>
        <w:t>Storage</w:t>
      </w:r>
      <w:proofErr w:type="spellEnd"/>
      <w:r>
        <w:t xml:space="preserve">) – ставка за сверхнормативное хранение груза в порту. Считается с момента выгрузки на терминал до момента вывоза с терминала. Взимается по ставкам порта. Обычно котируется за </w:t>
      </w:r>
      <w:proofErr w:type="spellStart"/>
      <w:r>
        <w:t>TEUи</w:t>
      </w:r>
      <w:proofErr w:type="spellEnd"/>
      <w:r>
        <w:t xml:space="preserve"> имеет возрастающую шкалу (чем дольше груз находится в порту, тем дороже каждый следующий день хранения).</w:t>
      </w:r>
    </w:p>
    <w:p w:rsidR="00BD5199" w:rsidRDefault="00BD5199" w:rsidP="00BD5199">
      <w:r>
        <w:t xml:space="preserve">За выставление на досмотр – ставка за работы по выставлению контейнера на площадку досмотра (таможенного, санитарного и </w:t>
      </w:r>
      <w:proofErr w:type="spellStart"/>
      <w:r>
        <w:t>тд</w:t>
      </w:r>
      <w:proofErr w:type="spellEnd"/>
      <w:r>
        <w:t>). Взимается по ставкам порта, по факту.</w:t>
      </w:r>
    </w:p>
    <w:p w:rsidR="00BD5199" w:rsidRDefault="00BD5199" w:rsidP="00BD5199">
      <w:r>
        <w:t>Ставки за дополнительные операции – ставки порта за любые не предусмотренные в обычной схеме обработки контейнера работы (перетарка, взвешивание, наложение пломб, маркировка и т.п.). Взимаются по ставкам порта, по факту.</w:t>
      </w:r>
    </w:p>
    <w:p w:rsidR="00BD5199" w:rsidRDefault="00BD5199" w:rsidP="00BD5199">
      <w:r>
        <w:t>Примеры ставок за локальные платежи в порту</w:t>
      </w:r>
    </w:p>
    <w:p w:rsidR="00BD5199" w:rsidRDefault="00BD5199" w:rsidP="00BD5199"/>
    <w:p w:rsidR="00BD5199" w:rsidRPr="008F1D58" w:rsidRDefault="00BD5199" w:rsidP="00BD5199">
      <w:pPr>
        <w:rPr>
          <w:lang w:val="en-US"/>
        </w:rPr>
      </w:pPr>
      <w:r w:rsidRPr="008F1D58">
        <w:rPr>
          <w:lang w:val="en-US"/>
        </w:rPr>
        <w:t>Containerships: 130 EUR THC + 25 EUR docs + 50 EUR m/h = 205 EUR;</w:t>
      </w:r>
    </w:p>
    <w:p w:rsidR="00BD5199" w:rsidRPr="008F1D58" w:rsidRDefault="00BD5199" w:rsidP="00BD5199">
      <w:pPr>
        <w:rPr>
          <w:lang w:val="en-US"/>
        </w:rPr>
      </w:pPr>
      <w:r w:rsidRPr="008F1D58">
        <w:rPr>
          <w:lang w:val="en-US"/>
        </w:rPr>
        <w:t xml:space="preserve">HAPAG: 75 </w:t>
      </w:r>
      <w:proofErr w:type="spellStart"/>
      <w:r w:rsidRPr="008F1D58">
        <w:rPr>
          <w:lang w:val="en-US"/>
        </w:rPr>
        <w:t>eur</w:t>
      </w:r>
      <w:proofErr w:type="spellEnd"/>
      <w:r w:rsidRPr="008F1D58">
        <w:rPr>
          <w:lang w:val="en-US"/>
        </w:rPr>
        <w:t xml:space="preserve"> THC + 6 EUR ISPS + 35 EUR docs + 25 EUR m/h = 141 EUR;</w:t>
      </w:r>
    </w:p>
    <w:p w:rsidR="00BD5199" w:rsidRDefault="00BD5199" w:rsidP="00BD5199">
      <w:r>
        <w:t>Вывоз контейнера – 10 дней бесплатно, первые 5 дней – 15 ЕУР/сутки, с 6 дня 30 ЕУР/сутки;</w:t>
      </w:r>
    </w:p>
    <w:p w:rsidR="00BD5199" w:rsidRDefault="00BD5199" w:rsidP="00BD5199">
      <w:r>
        <w:t xml:space="preserve">Хранение </w:t>
      </w:r>
      <w:proofErr w:type="spellStart"/>
      <w:r>
        <w:t>конт</w:t>
      </w:r>
      <w:proofErr w:type="spellEnd"/>
      <w:r>
        <w:t>. – 5 дней бесплатно, с 6 дня – 9 ЕУР/сутки;</w:t>
      </w:r>
    </w:p>
    <w:p w:rsidR="00BD5199" w:rsidRPr="008F1D58" w:rsidRDefault="00BD5199" w:rsidP="00BD5199">
      <w:pPr>
        <w:rPr>
          <w:lang w:val="en-US"/>
        </w:rPr>
      </w:pPr>
      <w:r w:rsidRPr="008F1D58">
        <w:rPr>
          <w:lang w:val="en-US"/>
        </w:rPr>
        <w:t>MSC: 100 EUR THC + 40 EUR docs + m/h 40 EUR + ISPS 15 EUR = 195 EUR;</w:t>
      </w:r>
    </w:p>
    <w:p w:rsidR="00BD5199" w:rsidRPr="008F1D58" w:rsidRDefault="00BD5199" w:rsidP="00BD5199">
      <w:pPr>
        <w:rPr>
          <w:lang w:val="en-US"/>
        </w:rPr>
      </w:pPr>
      <w:r w:rsidRPr="008F1D58">
        <w:rPr>
          <w:lang w:val="en-US"/>
        </w:rPr>
        <w:t xml:space="preserve">MAERSK: 120 EUR THC + 35 EUR </w:t>
      </w:r>
      <w:proofErr w:type="spellStart"/>
      <w:r w:rsidRPr="008F1D58">
        <w:rPr>
          <w:lang w:val="en-US"/>
        </w:rPr>
        <w:t>ddf</w:t>
      </w:r>
      <w:proofErr w:type="spellEnd"/>
      <w:r w:rsidRPr="008F1D58">
        <w:rPr>
          <w:lang w:val="en-US"/>
        </w:rPr>
        <w:t xml:space="preserve"> + 6 EUR ISPS + 30 EUR m/h = 191 EUR;</w:t>
      </w:r>
    </w:p>
    <w:p w:rsidR="00BD5199" w:rsidRPr="008F1D58" w:rsidRDefault="00BD5199" w:rsidP="00BD5199">
      <w:pPr>
        <w:rPr>
          <w:lang w:val="en-US"/>
        </w:rPr>
      </w:pPr>
      <w:r w:rsidRPr="008F1D58">
        <w:rPr>
          <w:lang w:val="en-US"/>
        </w:rPr>
        <w:t xml:space="preserve">Hamburg </w:t>
      </w:r>
      <w:proofErr w:type="spellStart"/>
      <w:proofErr w:type="gramStart"/>
      <w:r w:rsidRPr="008F1D58">
        <w:rPr>
          <w:lang w:val="en-US"/>
        </w:rPr>
        <w:t>Sud</w:t>
      </w:r>
      <w:proofErr w:type="spellEnd"/>
      <w:r w:rsidRPr="008F1D58">
        <w:rPr>
          <w:lang w:val="en-US"/>
        </w:rPr>
        <w:t xml:space="preserve"> :</w:t>
      </w:r>
      <w:proofErr w:type="gramEnd"/>
      <w:r w:rsidRPr="008F1D58">
        <w:rPr>
          <w:lang w:val="en-US"/>
        </w:rPr>
        <w:t xml:space="preserve"> 110 EUR THC + 30 EUR docs + 16 EUR ISPS = 156 EUR;</w:t>
      </w:r>
    </w:p>
    <w:p w:rsidR="00BD5199" w:rsidRPr="008F1D58" w:rsidRDefault="00BD5199" w:rsidP="00BD5199">
      <w:pPr>
        <w:rPr>
          <w:lang w:val="en-US"/>
        </w:rPr>
      </w:pPr>
      <w:r w:rsidRPr="008F1D58">
        <w:rPr>
          <w:lang w:val="en-US"/>
        </w:rPr>
        <w:t>OOCL: 74 EUR THC + 30 EUR docs + 11 EUR ISPS + m/h 30 EUR = 145 EUR.</w:t>
      </w:r>
    </w:p>
    <w:p w:rsidR="00BD5199" w:rsidRPr="008F1D58" w:rsidRDefault="00BD5199" w:rsidP="00BD5199">
      <w:r w:rsidRPr="008F1D58">
        <w:lastRenderedPageBreak/>
        <w:t xml:space="preserve">Параметры морских контейнеров различных типов: стандартный 20 футовый контейнер, стандартный 40 футовый контейнер, 40 футовый контейнер повышенной вместимости, а также </w:t>
      </w:r>
      <w:r w:rsidRPr="008F1D58">
        <w:rPr>
          <w:lang w:val="en-US"/>
        </w:rPr>
        <w:t>Open</w:t>
      </w:r>
      <w:r w:rsidRPr="008F1D58">
        <w:t xml:space="preserve"> </w:t>
      </w:r>
      <w:r w:rsidRPr="008F1D58">
        <w:rPr>
          <w:lang w:val="en-US"/>
        </w:rPr>
        <w:t>Top</w:t>
      </w:r>
      <w:r w:rsidRPr="008F1D58">
        <w:t xml:space="preserve"> и </w:t>
      </w:r>
      <w:r w:rsidRPr="008F1D58">
        <w:rPr>
          <w:lang w:val="en-US"/>
        </w:rPr>
        <w:t>Flat</w:t>
      </w:r>
      <w:r w:rsidRPr="008F1D58">
        <w:t xml:space="preserve"> </w:t>
      </w:r>
      <w:r w:rsidRPr="008F1D58">
        <w:rPr>
          <w:lang w:val="en-US"/>
        </w:rPr>
        <w:t>Rack</w:t>
      </w:r>
      <w:r w:rsidRPr="008F1D58">
        <w:t>. Габариты, внутренние размеры.</w:t>
      </w:r>
    </w:p>
    <w:p w:rsidR="00BD5199" w:rsidRPr="008F1D58" w:rsidRDefault="00BD5199" w:rsidP="00BD5199"/>
    <w:p w:rsidR="00BD5199" w:rsidRPr="0018102D" w:rsidRDefault="00BD5199" w:rsidP="00BD5199">
      <w:pPr>
        <w:pStyle w:val="3"/>
        <w:shd w:val="clear" w:color="auto" w:fill="FFFFFF"/>
        <w:spacing w:before="150" w:beforeAutospacing="0" w:after="150" w:afterAutospacing="0" w:line="42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Параметры 20</w:t>
      </w:r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 футового стандартного контейнера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20'DC</w:t>
      </w:r>
    </w:p>
    <w:tbl>
      <w:tblPr>
        <w:tblW w:w="5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096"/>
        <w:gridCol w:w="1021"/>
        <w:gridCol w:w="1059"/>
      </w:tblGrid>
      <w:tr w:rsidR="00BD5199" w:rsidRPr="0018102D" w:rsidTr="00B115B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2E8EAE8" wp14:editId="0C887796">
                  <wp:extent cx="666750" cy="552450"/>
                  <wp:effectExtent l="0" t="0" r="0" b="0"/>
                  <wp:docPr id="82" name="Рисунок 82" descr="20'' 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20'' 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Длина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19'4"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5.895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2.33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7'10"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2.38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двери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2.33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двери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7'6"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2.28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Вместимость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1,172 ft³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33,18 m³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Вес тары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4,916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2.229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Максимальный груз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47,999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21,727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</w:tbl>
    <w:p w:rsidR="00BD5199" w:rsidRPr="0018102D" w:rsidRDefault="00BD5199" w:rsidP="00BD5199">
      <w:pPr>
        <w:rPr>
          <w:sz w:val="18"/>
          <w:szCs w:val="18"/>
        </w:rPr>
      </w:pPr>
    </w:p>
    <w:p w:rsidR="00BD5199" w:rsidRPr="0018102D" w:rsidRDefault="00BD5199" w:rsidP="00BD5199">
      <w:pPr>
        <w:pStyle w:val="3"/>
        <w:shd w:val="clear" w:color="auto" w:fill="FFFFFF"/>
        <w:spacing w:before="150" w:beforeAutospacing="0" w:after="150" w:afterAutospacing="0" w:line="42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Параметры 20</w:t>
      </w:r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 футового засыпного контейнера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20'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bulk</w:t>
      </w:r>
      <w:proofErr w:type="spellEnd"/>
    </w:p>
    <w:tbl>
      <w:tblPr>
        <w:tblW w:w="5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2183"/>
        <w:gridCol w:w="1209"/>
      </w:tblGrid>
      <w:tr w:rsidR="00BD5199" w:rsidRPr="0018102D" w:rsidTr="00B115B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A607CE6" wp14:editId="12A4615E">
                  <wp:extent cx="666750" cy="552450"/>
                  <wp:effectExtent l="0" t="0" r="0" b="0"/>
                  <wp:docPr id="83" name="Рисунок 83" descr="20'' BU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20'' BU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Длина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5.934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2.358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2.340 m</w:t>
            </w:r>
          </w:p>
        </w:tc>
      </w:tr>
    </w:tbl>
    <w:p w:rsidR="00BD5199" w:rsidRPr="0018102D" w:rsidRDefault="00BD5199" w:rsidP="00BD5199">
      <w:pPr>
        <w:rPr>
          <w:sz w:val="18"/>
          <w:szCs w:val="18"/>
        </w:rPr>
      </w:pPr>
    </w:p>
    <w:p w:rsidR="00BD5199" w:rsidRPr="0018102D" w:rsidRDefault="00BD5199" w:rsidP="00BD5199">
      <w:pPr>
        <w:pStyle w:val="3"/>
        <w:shd w:val="clear" w:color="auto" w:fill="FFFFFF"/>
        <w:spacing w:before="150" w:beforeAutospacing="0" w:after="150" w:afterAutospacing="0" w:line="42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Параметры 20</w:t>
      </w:r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 футового c открытым верхом контейнера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20'OT</w:t>
      </w:r>
    </w:p>
    <w:tbl>
      <w:tblPr>
        <w:tblW w:w="6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346"/>
        <w:gridCol w:w="1143"/>
        <w:gridCol w:w="1185"/>
      </w:tblGrid>
      <w:tr w:rsidR="00BD5199" w:rsidRPr="0018102D" w:rsidTr="00B115B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7381682" wp14:editId="4DC45E61">
                  <wp:extent cx="666750" cy="552450"/>
                  <wp:effectExtent l="0" t="0" r="0" b="0"/>
                  <wp:docPr id="84" name="Рисунок 84" descr="20'' OPEN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20'' OPEN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Длина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19'4"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5.895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7'7"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2.31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2.33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двери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7'6"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2.28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двери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7'2"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2.18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Вместимость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1,136 ft³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32,16 m³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Вес тары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5,280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2.394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Максимальный груз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47,620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21,600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</w:tbl>
    <w:p w:rsidR="00BD5199" w:rsidRPr="0018102D" w:rsidRDefault="00BD5199" w:rsidP="00BD5199">
      <w:pPr>
        <w:rPr>
          <w:sz w:val="18"/>
          <w:szCs w:val="18"/>
        </w:rPr>
      </w:pPr>
    </w:p>
    <w:p w:rsidR="00BD5199" w:rsidRPr="0018102D" w:rsidRDefault="00BD5199" w:rsidP="00BD5199">
      <w:pPr>
        <w:pStyle w:val="3"/>
        <w:shd w:val="clear" w:color="auto" w:fill="FFFFFF"/>
        <w:spacing w:before="150" w:beforeAutospacing="0" w:after="150" w:afterAutospacing="0" w:line="42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Параметры 20 </w:t>
      </w:r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футовой открытой платформы </w:t>
      </w:r>
      <w:proofErr w:type="spellStart"/>
      <w:r w:rsidRPr="0018102D">
        <w:rPr>
          <w:rFonts w:asciiTheme="minorHAnsi" w:hAnsiTheme="minorHAnsi" w:cs="Arial"/>
          <w:color w:val="000000"/>
          <w:sz w:val="18"/>
          <w:szCs w:val="18"/>
        </w:rPr>
        <w:t>cо</w:t>
      </w:r>
      <w:proofErr w:type="spellEnd"/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 стенками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20'FR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tbl>
      <w:tblPr>
        <w:tblW w:w="6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2318"/>
        <w:gridCol w:w="1129"/>
        <w:gridCol w:w="1171"/>
      </w:tblGrid>
      <w:tr w:rsidR="00BD5199" w:rsidRPr="0018102D" w:rsidTr="00B115B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1659153" wp14:editId="3084C7B6">
                  <wp:extent cx="666750" cy="552450"/>
                  <wp:effectExtent l="0" t="0" r="0" b="0"/>
                  <wp:docPr id="85" name="Рисунок 85" descr="20'' FLATR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20'' FLATR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Длина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18'5"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5.61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7'3"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2.20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7'4"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2.23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Вес тары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5,578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2.530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Максимальный груз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47,333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21,469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</w:tbl>
    <w:p w:rsidR="00BD5199" w:rsidRPr="0018102D" w:rsidRDefault="00BD5199" w:rsidP="00BD5199">
      <w:pPr>
        <w:rPr>
          <w:sz w:val="18"/>
          <w:szCs w:val="18"/>
        </w:rPr>
      </w:pPr>
    </w:p>
    <w:p w:rsidR="00BD5199" w:rsidRPr="0018102D" w:rsidRDefault="00BD5199" w:rsidP="00BD5199">
      <w:pPr>
        <w:pStyle w:val="3"/>
        <w:shd w:val="clear" w:color="auto" w:fill="FFFFFF"/>
        <w:spacing w:before="150" w:beforeAutospacing="0" w:after="150" w:afterAutospacing="0" w:line="42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Параметры 20 </w:t>
      </w:r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футовой открытой платформы </w:t>
      </w:r>
      <w:proofErr w:type="spellStart"/>
      <w:r w:rsidRPr="0018102D">
        <w:rPr>
          <w:rFonts w:asciiTheme="minorHAnsi" w:hAnsiTheme="minorHAnsi" w:cs="Arial"/>
          <w:color w:val="000000"/>
          <w:sz w:val="18"/>
          <w:szCs w:val="18"/>
        </w:rPr>
        <w:t>cо</w:t>
      </w:r>
      <w:proofErr w:type="spellEnd"/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proofErr w:type="spellStart"/>
      <w:r w:rsidRPr="0018102D">
        <w:rPr>
          <w:rFonts w:asciiTheme="minorHAnsi" w:hAnsiTheme="minorHAnsi" w:cs="Arial"/>
          <w:color w:val="000000"/>
          <w:sz w:val="18"/>
          <w:szCs w:val="18"/>
        </w:rPr>
        <w:t>складующимися</w:t>
      </w:r>
      <w:proofErr w:type="spellEnd"/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 во внутрь стенками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20'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flat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rack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container</w:t>
      </w:r>
      <w:proofErr w:type="spellEnd"/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3363"/>
        <w:gridCol w:w="1638"/>
        <w:gridCol w:w="1699"/>
      </w:tblGrid>
      <w:tr w:rsidR="00BD5199" w:rsidRPr="0018102D" w:rsidTr="00B115B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0EE718C" wp14:editId="06870ACD">
                  <wp:extent cx="666750" cy="552450"/>
                  <wp:effectExtent l="0" t="0" r="0" b="0"/>
                  <wp:docPr id="86" name="Рисунок 86" descr="20'' FLATRACK COLLAPS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20'' FLATRACK COLLAPSI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Длина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18'6"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5.63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7'3"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2.20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7'4"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2.23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Вес тары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6,061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2.749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Максимальный груз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61,117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27,722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</w:tbl>
    <w:p w:rsidR="00BD5199" w:rsidRPr="0018102D" w:rsidRDefault="00BD5199" w:rsidP="00BD5199">
      <w:pPr>
        <w:rPr>
          <w:sz w:val="18"/>
          <w:szCs w:val="18"/>
        </w:rPr>
      </w:pPr>
    </w:p>
    <w:p w:rsidR="00BD5199" w:rsidRPr="0018102D" w:rsidRDefault="00BD5199" w:rsidP="00BD5199">
      <w:pPr>
        <w:pStyle w:val="3"/>
        <w:shd w:val="clear" w:color="auto" w:fill="FFFFFF"/>
        <w:spacing w:before="150" w:beforeAutospacing="0" w:after="150" w:afterAutospacing="0" w:line="42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Параметры 20 </w:t>
      </w:r>
      <w:r w:rsidRPr="0018102D">
        <w:rPr>
          <w:rFonts w:asciiTheme="minorHAnsi" w:hAnsiTheme="minorHAnsi" w:cs="Arial"/>
          <w:color w:val="000000"/>
          <w:sz w:val="18"/>
          <w:szCs w:val="18"/>
        </w:rPr>
        <w:t>футовой открытой платформы без стенок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20' FB</w:t>
      </w:r>
    </w:p>
    <w:tbl>
      <w:tblPr>
        <w:tblW w:w="6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2257"/>
        <w:gridCol w:w="1099"/>
        <w:gridCol w:w="1140"/>
      </w:tblGrid>
      <w:tr w:rsidR="00BD5199" w:rsidRPr="0018102D" w:rsidTr="00B115B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5B60ACE" wp14:editId="33C93A62">
                  <wp:extent cx="666750" cy="552450"/>
                  <wp:effectExtent l="0" t="0" r="0" b="0"/>
                  <wp:docPr id="87" name="Рисунок 87" descr="20'' PLAT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20'' PLAT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Длина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19'11"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6.07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8'0"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2.43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7'4"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2.23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Вес тары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6,061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2.749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Максимальный груз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52,896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23,993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</w:tbl>
    <w:p w:rsidR="00BD5199" w:rsidRPr="0018102D" w:rsidRDefault="00BD5199" w:rsidP="00BD5199">
      <w:pPr>
        <w:rPr>
          <w:sz w:val="18"/>
          <w:szCs w:val="18"/>
        </w:rPr>
      </w:pPr>
    </w:p>
    <w:p w:rsidR="00BD5199" w:rsidRPr="0018102D" w:rsidRDefault="00BD5199" w:rsidP="00BD5199">
      <w:pPr>
        <w:pStyle w:val="3"/>
        <w:shd w:val="clear" w:color="auto" w:fill="FFFFFF"/>
        <w:spacing w:before="150" w:beforeAutospacing="0" w:after="150" w:afterAutospacing="0" w:line="42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Параметры </w:t>
      </w:r>
      <w:proofErr w:type="gramStart"/>
      <w:r>
        <w:rPr>
          <w:rFonts w:asciiTheme="minorHAnsi" w:hAnsiTheme="minorHAnsi" w:cs="Arial"/>
          <w:color w:val="000000"/>
          <w:sz w:val="18"/>
          <w:szCs w:val="18"/>
        </w:rPr>
        <w:t xml:space="preserve">20 </w:t>
      </w:r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 футового</w:t>
      </w:r>
      <w:proofErr w:type="gramEnd"/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 танк-контейнера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20'TC</w:t>
      </w:r>
    </w:p>
    <w:tbl>
      <w:tblPr>
        <w:tblW w:w="46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1919"/>
        <w:gridCol w:w="1063"/>
      </w:tblGrid>
      <w:tr w:rsidR="00BD5199" w:rsidRPr="0018102D" w:rsidTr="00B115B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9D18842" wp14:editId="066530D5">
                  <wp:extent cx="666750" cy="552450"/>
                  <wp:effectExtent l="0" t="0" r="0" b="0"/>
                  <wp:docPr id="88" name="Рисунок 88" descr="20'' T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20'' T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Длина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6.058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2.438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2.438 m</w:t>
            </w:r>
          </w:p>
        </w:tc>
      </w:tr>
    </w:tbl>
    <w:p w:rsidR="00BD5199" w:rsidRPr="0018102D" w:rsidRDefault="00BD5199" w:rsidP="00BD5199">
      <w:pPr>
        <w:rPr>
          <w:sz w:val="18"/>
          <w:szCs w:val="18"/>
        </w:rPr>
      </w:pPr>
    </w:p>
    <w:p w:rsidR="00BD5199" w:rsidRPr="0018102D" w:rsidRDefault="00BD5199" w:rsidP="00BD5199">
      <w:pPr>
        <w:pStyle w:val="3"/>
        <w:shd w:val="clear" w:color="auto" w:fill="FFFFFF"/>
        <w:spacing w:before="150" w:beforeAutospacing="0" w:after="150" w:afterAutospacing="0" w:line="42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Параметры 20</w:t>
      </w:r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 футового холодильника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20'RE</w:t>
      </w:r>
    </w:p>
    <w:tbl>
      <w:tblPr>
        <w:tblW w:w="4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723"/>
        <w:gridCol w:w="839"/>
        <w:gridCol w:w="871"/>
      </w:tblGrid>
      <w:tr w:rsidR="00BD5199" w:rsidRPr="0018102D" w:rsidTr="00B115B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30F2195" wp14:editId="268858E7">
                  <wp:extent cx="666750" cy="552450"/>
                  <wp:effectExtent l="0" t="0" r="0" b="0"/>
                  <wp:docPr id="89" name="Рисунок 89" descr="20'' REFRIG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20'' REFRIG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Длина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17'8"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5.38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2.26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2.26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двери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2.26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двери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7'3"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2.20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Вместимость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1,000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ft</w:t>
            </w:r>
            <w:proofErr w:type="spellEnd"/>
            <w:r w:rsidRPr="0018102D"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28,31 m?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Вес тары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7,040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3.193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Максимальный груз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45,760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20,756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</w:tbl>
    <w:p w:rsidR="00BD5199" w:rsidRPr="0018102D" w:rsidRDefault="00BD5199" w:rsidP="00BD5199">
      <w:pPr>
        <w:rPr>
          <w:sz w:val="18"/>
          <w:szCs w:val="18"/>
        </w:rPr>
      </w:pPr>
    </w:p>
    <w:p w:rsidR="00BD5199" w:rsidRPr="003C743A" w:rsidRDefault="00BD5199" w:rsidP="00BD5199">
      <w:pPr>
        <w:pStyle w:val="3"/>
        <w:shd w:val="clear" w:color="auto" w:fill="FFFFFF"/>
        <w:spacing w:before="150" w:beforeAutospacing="0" w:after="150" w:afterAutospacing="0" w:line="42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Параметры 40</w:t>
      </w:r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 футового стандартного контейнера</w:t>
      </w:r>
      <w:r w:rsidRPr="003C743A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40'DC</w:t>
      </w:r>
    </w:p>
    <w:tbl>
      <w:tblPr>
        <w:tblW w:w="5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051"/>
        <w:gridCol w:w="999"/>
        <w:gridCol w:w="1037"/>
      </w:tblGrid>
      <w:tr w:rsidR="00BD5199" w:rsidRPr="0018102D" w:rsidTr="00B115B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7C74E7D" wp14:editId="141AF092">
                  <wp:extent cx="666750" cy="552450"/>
                  <wp:effectExtent l="0" t="0" r="0" b="0"/>
                  <wp:docPr id="90" name="Рисунок 90" descr="40'' 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40'' 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Длина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39'5"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12.01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2.33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7'10"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2.38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двери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2.33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двери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7'6"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2.28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Вместимость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2,390 ft³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67,67 m³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Вес тары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8,160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3.701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Максимальный груз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59,040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26,780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</w:tbl>
    <w:p w:rsidR="00BD5199" w:rsidRPr="0018102D" w:rsidRDefault="00BD5199" w:rsidP="00BD5199">
      <w:pPr>
        <w:rPr>
          <w:sz w:val="18"/>
          <w:szCs w:val="18"/>
        </w:rPr>
      </w:pPr>
    </w:p>
    <w:p w:rsidR="00BD5199" w:rsidRPr="003C743A" w:rsidRDefault="00BD5199" w:rsidP="00BD5199">
      <w:pPr>
        <w:pStyle w:val="3"/>
        <w:shd w:val="clear" w:color="auto" w:fill="FFFFFF"/>
        <w:spacing w:before="150" w:beforeAutospacing="0" w:after="150" w:afterAutospacing="0" w:line="42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Параметры </w:t>
      </w:r>
      <w:proofErr w:type="gramStart"/>
      <w:r>
        <w:rPr>
          <w:rFonts w:asciiTheme="minorHAnsi" w:hAnsiTheme="minorHAnsi" w:cs="Arial"/>
          <w:color w:val="000000"/>
          <w:sz w:val="18"/>
          <w:szCs w:val="18"/>
        </w:rPr>
        <w:t xml:space="preserve">40 </w:t>
      </w:r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 футового</w:t>
      </w:r>
      <w:proofErr w:type="gramEnd"/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 c открытым верхом контейнера</w:t>
      </w:r>
      <w:r w:rsidRPr="003C743A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40'OT</w:t>
      </w:r>
    </w:p>
    <w:tbl>
      <w:tblPr>
        <w:tblW w:w="6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302"/>
        <w:gridCol w:w="1121"/>
        <w:gridCol w:w="1163"/>
      </w:tblGrid>
      <w:tr w:rsidR="00BD5199" w:rsidRPr="0018102D" w:rsidTr="00B115B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88BDEBD" wp14:editId="58ECE05C">
                  <wp:extent cx="666750" cy="552450"/>
                  <wp:effectExtent l="0" t="0" r="0" b="0"/>
                  <wp:docPr id="91" name="Рисунок 91" descr="40'' OPEN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40'' OPEN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Длина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39'5"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12.01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2.33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2.33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двери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2.33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двери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2.26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Вместимость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2,350 ft³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66,54 m³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Вес тары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8,490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3.850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Максимальный груз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59,710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26,630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</w:tbl>
    <w:p w:rsidR="00BD5199" w:rsidRPr="0018102D" w:rsidRDefault="00BD5199" w:rsidP="00BD5199">
      <w:pPr>
        <w:rPr>
          <w:sz w:val="18"/>
          <w:szCs w:val="18"/>
        </w:rPr>
      </w:pPr>
    </w:p>
    <w:p w:rsidR="00BD5199" w:rsidRPr="0018102D" w:rsidRDefault="00BD5199" w:rsidP="00BD5199">
      <w:pPr>
        <w:pStyle w:val="3"/>
        <w:shd w:val="clear" w:color="auto" w:fill="FFFFFF"/>
        <w:spacing w:before="150" w:beforeAutospacing="0" w:after="150" w:afterAutospacing="0" w:line="420" w:lineRule="atLeast"/>
        <w:rPr>
          <w:rFonts w:asciiTheme="minorHAnsi" w:hAnsiTheme="minorHAnsi" w:cs="Arial"/>
          <w:color w:val="000000"/>
          <w:sz w:val="18"/>
          <w:szCs w:val="18"/>
        </w:rPr>
      </w:pPr>
      <w:r w:rsidRPr="0018102D">
        <w:rPr>
          <w:rFonts w:asciiTheme="minorHAnsi" w:hAnsiTheme="minorHAnsi" w:cs="Arial"/>
          <w:color w:val="000000"/>
          <w:sz w:val="18"/>
          <w:szCs w:val="18"/>
        </w:rPr>
        <w:t>Параметры 40-а футового контейнера повышенной вместимости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40'HC</w:t>
      </w:r>
    </w:p>
    <w:tbl>
      <w:tblPr>
        <w:tblW w:w="6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2574"/>
        <w:gridCol w:w="1254"/>
        <w:gridCol w:w="1301"/>
      </w:tblGrid>
      <w:tr w:rsidR="00BD5199" w:rsidRPr="0018102D" w:rsidTr="00B115B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2681240" wp14:editId="3D90D926">
                  <wp:extent cx="666750" cy="552450"/>
                  <wp:effectExtent l="0" t="0" r="0" b="0"/>
                  <wp:docPr id="92" name="Рисунок 92" descr="40'' HIGH-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40'' HIGH-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Длина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39'5"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12.01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2.33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8'10"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2.69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двери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2.33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двери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8'5"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2.56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Вместимость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2,694 ft³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76,28 m³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Вес тары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8,750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3.968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Максимальный груз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58,450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26,512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</w:tbl>
    <w:p w:rsidR="00BD5199" w:rsidRPr="0018102D" w:rsidRDefault="00BD5199" w:rsidP="00BD5199">
      <w:pPr>
        <w:rPr>
          <w:sz w:val="18"/>
          <w:szCs w:val="18"/>
        </w:rPr>
      </w:pPr>
    </w:p>
    <w:p w:rsidR="00BD5199" w:rsidRPr="003C743A" w:rsidRDefault="00BD5199" w:rsidP="00BD5199">
      <w:pPr>
        <w:pStyle w:val="3"/>
        <w:shd w:val="clear" w:color="auto" w:fill="FFFFFF"/>
        <w:spacing w:before="150" w:beforeAutospacing="0" w:after="150" w:afterAutospacing="0" w:line="42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Параметры 40 </w:t>
      </w:r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футовой открытой платформы </w:t>
      </w:r>
      <w:proofErr w:type="spellStart"/>
      <w:r w:rsidRPr="0018102D">
        <w:rPr>
          <w:rFonts w:asciiTheme="minorHAnsi" w:hAnsiTheme="minorHAnsi" w:cs="Arial"/>
          <w:color w:val="000000"/>
          <w:sz w:val="18"/>
          <w:szCs w:val="18"/>
        </w:rPr>
        <w:t>cо</w:t>
      </w:r>
      <w:proofErr w:type="spellEnd"/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 стенками</w:t>
      </w:r>
      <w:r w:rsidRPr="003C743A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40'FR</w:t>
      </w:r>
    </w:p>
    <w:tbl>
      <w:tblPr>
        <w:tblW w:w="6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2318"/>
        <w:gridCol w:w="1129"/>
        <w:gridCol w:w="1171"/>
      </w:tblGrid>
      <w:tr w:rsidR="00BD5199" w:rsidRPr="0018102D" w:rsidTr="00B115B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8E74D9C" wp14:editId="5C994C76">
                  <wp:extent cx="666750" cy="552450"/>
                  <wp:effectExtent l="0" t="0" r="0" b="0"/>
                  <wp:docPr id="93" name="Рисунок 93" descr="40'' FLATR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40'' FLATR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Длина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39'7"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12.06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6'10"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2.08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6'5"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1.95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Вес тары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12,081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5.479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Максимальный груз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85,800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38,918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</w:tbl>
    <w:p w:rsidR="00BD5199" w:rsidRPr="0018102D" w:rsidRDefault="00BD5199" w:rsidP="00BD5199">
      <w:pPr>
        <w:rPr>
          <w:sz w:val="18"/>
          <w:szCs w:val="18"/>
        </w:rPr>
      </w:pPr>
    </w:p>
    <w:p w:rsidR="00BD5199" w:rsidRPr="003C743A" w:rsidRDefault="00BD5199" w:rsidP="00BD5199">
      <w:pPr>
        <w:pStyle w:val="3"/>
        <w:shd w:val="clear" w:color="auto" w:fill="FFFFFF"/>
        <w:spacing w:before="150" w:beforeAutospacing="0" w:after="150" w:afterAutospacing="0" w:line="42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Параметры 40 </w:t>
      </w:r>
      <w:r w:rsidRPr="0018102D">
        <w:rPr>
          <w:rFonts w:asciiTheme="minorHAnsi" w:hAnsiTheme="minorHAnsi" w:cs="Arial"/>
          <w:color w:val="000000"/>
          <w:sz w:val="18"/>
          <w:szCs w:val="18"/>
        </w:rPr>
        <w:t>футовой открытой платформы без стенок</w:t>
      </w:r>
      <w:r w:rsidRPr="003C743A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40' PL</w:t>
      </w:r>
    </w:p>
    <w:tbl>
      <w:tblPr>
        <w:tblW w:w="6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2257"/>
        <w:gridCol w:w="1099"/>
        <w:gridCol w:w="1140"/>
      </w:tblGrid>
      <w:tr w:rsidR="00BD5199" w:rsidRPr="0018102D" w:rsidTr="00B115B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0172F33" wp14:editId="147A7353">
                  <wp:extent cx="666750" cy="552450"/>
                  <wp:effectExtent l="0" t="0" r="0" b="0"/>
                  <wp:docPr id="94" name="Рисунок 94" descr="40'' PLAT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40'' PLAT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Длина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40'0"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12.19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8'0"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2.43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6'5"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1.95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Вес тары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12,783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5.798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Максимальный груз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66,397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30,117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</w:tbl>
    <w:p w:rsidR="00BD5199" w:rsidRPr="0018102D" w:rsidRDefault="00BD5199" w:rsidP="00BD5199">
      <w:pPr>
        <w:rPr>
          <w:sz w:val="18"/>
          <w:szCs w:val="18"/>
        </w:rPr>
      </w:pPr>
    </w:p>
    <w:p w:rsidR="00BD5199" w:rsidRPr="0018102D" w:rsidRDefault="00BD5199" w:rsidP="00BD5199">
      <w:pPr>
        <w:rPr>
          <w:sz w:val="18"/>
          <w:szCs w:val="18"/>
        </w:rPr>
      </w:pPr>
    </w:p>
    <w:p w:rsidR="00BD5199" w:rsidRPr="0018102D" w:rsidRDefault="00BD5199" w:rsidP="00BD5199">
      <w:pPr>
        <w:pStyle w:val="3"/>
        <w:shd w:val="clear" w:color="auto" w:fill="FFFFFF"/>
        <w:spacing w:before="150" w:beforeAutospacing="0" w:after="150" w:afterAutospacing="0" w:line="420" w:lineRule="atLeas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Параметры </w:t>
      </w:r>
      <w:proofErr w:type="gramStart"/>
      <w:r>
        <w:rPr>
          <w:rFonts w:asciiTheme="minorHAnsi" w:hAnsiTheme="minorHAnsi" w:cs="Arial"/>
          <w:color w:val="000000"/>
          <w:sz w:val="18"/>
          <w:szCs w:val="18"/>
        </w:rPr>
        <w:t xml:space="preserve">40 </w:t>
      </w:r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 футового</w:t>
      </w:r>
      <w:proofErr w:type="gramEnd"/>
      <w:r w:rsidRPr="0018102D">
        <w:rPr>
          <w:rFonts w:asciiTheme="minorHAnsi" w:hAnsiTheme="minorHAnsi" w:cs="Arial"/>
          <w:color w:val="000000"/>
          <w:sz w:val="18"/>
          <w:szCs w:val="18"/>
        </w:rPr>
        <w:t xml:space="preserve"> холодильника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40'REF</w:t>
      </w:r>
    </w:p>
    <w:tbl>
      <w:tblPr>
        <w:tblW w:w="4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723"/>
        <w:gridCol w:w="839"/>
        <w:gridCol w:w="871"/>
      </w:tblGrid>
      <w:tr w:rsidR="00BD5199" w:rsidRPr="0018102D" w:rsidTr="00B115B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8A6E8AF" wp14:editId="7639452D">
                  <wp:extent cx="666750" cy="552450"/>
                  <wp:effectExtent l="0" t="0" r="0" b="0"/>
                  <wp:docPr id="95" name="Рисунок 95" descr="40'' REFRIG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40'' REFRIG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Длина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37'8"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11.48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2.26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внутри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7'2"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2.18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Ширина двери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2.26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Высота двери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7'0"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2.13 m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Вместимость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2,040 ft³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57,76 m³</w:t>
            </w:r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Вес тары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10,780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4.889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BD5199" w:rsidRPr="0018102D" w:rsidTr="00B115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D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>Максимальный груз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56,276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199" w:rsidRPr="0018102D" w:rsidRDefault="00BD5199" w:rsidP="00B115B9">
            <w:pPr>
              <w:spacing w:line="420" w:lineRule="atLeast"/>
              <w:rPr>
                <w:rFonts w:cs="Arial"/>
                <w:color w:val="000000"/>
                <w:sz w:val="18"/>
                <w:szCs w:val="18"/>
              </w:rPr>
            </w:pPr>
            <w:r w:rsidRPr="0018102D">
              <w:rPr>
                <w:rFonts w:cs="Arial"/>
                <w:color w:val="000000"/>
                <w:sz w:val="18"/>
                <w:szCs w:val="18"/>
              </w:rPr>
              <w:t xml:space="preserve">25,526 </w:t>
            </w:r>
            <w:proofErr w:type="spellStart"/>
            <w:r w:rsidRPr="0018102D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</w:tbl>
    <w:p w:rsidR="00D079D8" w:rsidRDefault="00D079D8">
      <w:bookmarkStart w:id="0" w:name="_GoBack"/>
      <w:bookmarkEnd w:id="0"/>
    </w:p>
    <w:sectPr w:rsidR="00D0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E"/>
    <w:rsid w:val="001F734F"/>
    <w:rsid w:val="00BD5199"/>
    <w:rsid w:val="00D079D8"/>
    <w:rsid w:val="00D4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9DA83-6735-41AB-ACFA-64176138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0E"/>
  </w:style>
  <w:style w:type="paragraph" w:styleId="3">
    <w:name w:val="heading 3"/>
    <w:basedOn w:val="a"/>
    <w:link w:val="30"/>
    <w:uiPriority w:val="9"/>
    <w:qFormat/>
    <w:rsid w:val="00BD5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D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2016-11-04T11:51:00Z</dcterms:created>
  <dcterms:modified xsi:type="dcterms:W3CDTF">2016-11-04T11:51:00Z</dcterms:modified>
</cp:coreProperties>
</file>